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658" w:rsidRPr="00340658" w:rsidRDefault="00340658" w:rsidP="00340658">
      <w:pPr>
        <w:shd w:val="clear" w:color="auto" w:fill="FFFFFF"/>
        <w:spacing w:after="100" w:afterAutospacing="1" w:line="480" w:lineRule="auto"/>
        <w:outlineLvl w:val="1"/>
        <w:rPr>
          <w:rFonts w:ascii="Times New Roman" w:eastAsia="SimSun" w:hAnsi="Times New Roman" w:cs="Times New Roman"/>
          <w:b/>
          <w:bCs/>
          <w:sz w:val="24"/>
          <w:szCs w:val="24"/>
        </w:rPr>
      </w:pPr>
      <w:r w:rsidRPr="00340658">
        <w:rPr>
          <w:rFonts w:ascii="Times New Roman" w:eastAsia="SimSun" w:hAnsi="Times New Roman" w:cs="Times New Roman"/>
          <w:b/>
          <w:sz w:val="24"/>
          <w:szCs w:val="24"/>
        </w:rPr>
        <w:t>Since the late 1990s more than 25 domestic steel companies have filed for bankruptcy.  A combination of low prices with strong competition by foreign competitors and so called “legacy costs” of unions are cited as the primary reasons why so many steel companies are filing for bankruptcy.  In 2002, as Brownstown Steel Corp. was in the process of restructuring its loans to avoid bankruptcy, its lenders requested that the firm disclose full information about its revenues and costs.  Explain why Brownstown’s management was reluctant to release this information to its lenders.</w:t>
      </w:r>
    </w:p>
    <w:p w:rsidR="00340658" w:rsidRPr="00340658" w:rsidRDefault="00340658" w:rsidP="00340658">
      <w:pPr>
        <w:shd w:val="clear" w:color="auto" w:fill="FFFFFF"/>
        <w:spacing w:after="100" w:afterAutospacing="1" w:line="480" w:lineRule="auto"/>
        <w:ind w:firstLine="720"/>
        <w:outlineLvl w:val="1"/>
        <w:rPr>
          <w:rFonts w:ascii="Times New Roman" w:eastAsia="SimSun" w:hAnsi="Times New Roman" w:cs="Times New Roman"/>
          <w:sz w:val="24"/>
          <w:szCs w:val="24"/>
        </w:rPr>
      </w:pPr>
      <w:r w:rsidRPr="00340658">
        <w:rPr>
          <w:rFonts w:ascii="Times New Roman" w:eastAsia="SimSun" w:hAnsi="Times New Roman" w:cs="Times New Roman"/>
          <w:sz w:val="24"/>
          <w:szCs w:val="24"/>
        </w:rPr>
        <w:t xml:space="preserve">The Brownstown Steel Corp. has a better stance and opportunity for negotiations provided they do not reveal and disclose all their information as the lender requested. Releasing the information is not in the best interest of the Brownstown Steel Corp. the lenders will maximize on the information they find in if Brownstown discloses its revenues and costs. Maximizing on the information will grant them a better bargaining position and power, which the lenders may use into squeeze as much benefit for their company as they can from Brownstown </w:t>
      </w:r>
      <w:sdt>
        <w:sdtPr>
          <w:rPr>
            <w:rFonts w:ascii="Times New Roman" w:eastAsia="SimSun" w:hAnsi="Times New Roman" w:cs="Times New Roman"/>
            <w:sz w:val="24"/>
            <w:szCs w:val="24"/>
          </w:rPr>
          <w:id w:val="3286064"/>
          <w:citation/>
        </w:sdtPr>
        <w:sdtContent>
          <w:r w:rsidRPr="00340658">
            <w:rPr>
              <w:rFonts w:ascii="Times New Roman" w:eastAsia="SimSun" w:hAnsi="Times New Roman" w:cs="Times New Roman"/>
              <w:sz w:val="24"/>
              <w:szCs w:val="24"/>
            </w:rPr>
            <w:fldChar w:fldCharType="begin"/>
          </w:r>
          <w:r w:rsidRPr="00340658">
            <w:rPr>
              <w:rFonts w:ascii="Times New Roman" w:eastAsia="SimSun" w:hAnsi="Times New Roman" w:cs="Times New Roman"/>
              <w:sz w:val="24"/>
              <w:szCs w:val="24"/>
            </w:rPr>
            <w:instrText xml:space="preserve"> CITATION She16 \l 1033 </w:instrText>
          </w:r>
          <w:r w:rsidRPr="00340658">
            <w:rPr>
              <w:rFonts w:ascii="Times New Roman" w:eastAsia="SimSun" w:hAnsi="Times New Roman" w:cs="Times New Roman"/>
              <w:sz w:val="24"/>
              <w:szCs w:val="24"/>
            </w:rPr>
            <w:fldChar w:fldCharType="separate"/>
          </w:r>
          <w:r w:rsidRPr="00340658">
            <w:rPr>
              <w:rFonts w:ascii="Times New Roman" w:eastAsia="SimSun" w:hAnsi="Times New Roman" w:cs="Times New Roman"/>
              <w:noProof/>
              <w:sz w:val="24"/>
              <w:szCs w:val="24"/>
            </w:rPr>
            <w:t>(Sherratt, 2016)</w:t>
          </w:r>
          <w:r w:rsidRPr="00340658">
            <w:rPr>
              <w:rFonts w:ascii="Times New Roman" w:eastAsia="SimSun" w:hAnsi="Times New Roman" w:cs="Times New Roman"/>
              <w:sz w:val="24"/>
              <w:szCs w:val="24"/>
            </w:rPr>
            <w:fldChar w:fldCharType="end"/>
          </w:r>
        </w:sdtContent>
      </w:sdt>
      <w:r w:rsidRPr="00340658">
        <w:rPr>
          <w:rFonts w:ascii="Times New Roman" w:eastAsia="SimSun" w:hAnsi="Times New Roman" w:cs="Times New Roman"/>
          <w:sz w:val="24"/>
          <w:szCs w:val="24"/>
        </w:rPr>
        <w:t xml:space="preserve">. The latter will bulge from any pressure from the lenders, mostly from the imminent threat of bankruptcy. Information that could sum up the collateral set by the lender should be adequate for the lender </w:t>
      </w:r>
      <w:sdt>
        <w:sdtPr>
          <w:rPr>
            <w:rFonts w:ascii="Times New Roman" w:eastAsia="SimSun" w:hAnsi="Times New Roman" w:cs="Times New Roman"/>
            <w:sz w:val="24"/>
            <w:szCs w:val="24"/>
          </w:rPr>
          <w:id w:val="3286063"/>
          <w:citation/>
        </w:sdtPr>
        <w:sdtContent>
          <w:r w:rsidRPr="00340658">
            <w:rPr>
              <w:rFonts w:ascii="Times New Roman" w:eastAsia="SimSun" w:hAnsi="Times New Roman" w:cs="Times New Roman"/>
              <w:sz w:val="24"/>
              <w:szCs w:val="24"/>
            </w:rPr>
            <w:fldChar w:fldCharType="begin"/>
          </w:r>
          <w:r w:rsidRPr="00340658">
            <w:rPr>
              <w:rFonts w:ascii="Times New Roman" w:eastAsia="SimSun" w:hAnsi="Times New Roman" w:cs="Times New Roman"/>
              <w:sz w:val="24"/>
              <w:szCs w:val="24"/>
            </w:rPr>
            <w:instrText xml:space="preserve"> CITATION Leg13 \l 1033 </w:instrText>
          </w:r>
          <w:r w:rsidRPr="00340658">
            <w:rPr>
              <w:rFonts w:ascii="Times New Roman" w:eastAsia="SimSun" w:hAnsi="Times New Roman" w:cs="Times New Roman"/>
              <w:sz w:val="24"/>
              <w:szCs w:val="24"/>
            </w:rPr>
            <w:fldChar w:fldCharType="separate"/>
          </w:r>
          <w:r w:rsidRPr="00340658">
            <w:rPr>
              <w:rFonts w:ascii="Times New Roman" w:eastAsia="SimSun" w:hAnsi="Times New Roman" w:cs="Times New Roman"/>
              <w:noProof/>
              <w:sz w:val="24"/>
              <w:szCs w:val="24"/>
            </w:rPr>
            <w:t>(Legal Information Institute, 2013)</w:t>
          </w:r>
          <w:r w:rsidRPr="00340658">
            <w:rPr>
              <w:rFonts w:ascii="Times New Roman" w:eastAsia="SimSun" w:hAnsi="Times New Roman" w:cs="Times New Roman"/>
              <w:sz w:val="24"/>
              <w:szCs w:val="24"/>
            </w:rPr>
            <w:fldChar w:fldCharType="end"/>
          </w:r>
        </w:sdtContent>
      </w:sdt>
      <w:r w:rsidRPr="00340658">
        <w:rPr>
          <w:rFonts w:ascii="Times New Roman" w:eastAsia="SimSun" w:hAnsi="Times New Roman" w:cs="Times New Roman"/>
          <w:sz w:val="24"/>
          <w:szCs w:val="24"/>
        </w:rPr>
        <w:t xml:space="preserve">. The latter firm also has more documents that are financially appropriate for the lenders to process and hand them the loan. If Brownstown do not submit the requested information to the lenders, they retain some sort of bargaining power since the lender cannot use the information to exploit the former. It is possible that an open negotiation without disclosure of revenues and cost could lead to a more generous lender, and reduce the risk factors that could expose the firm to exploitation. </w:t>
      </w:r>
    </w:p>
    <w:p w:rsidR="00340658" w:rsidRPr="00340658" w:rsidRDefault="00340658" w:rsidP="00340658">
      <w:pPr>
        <w:spacing w:line="480" w:lineRule="auto"/>
        <w:rPr>
          <w:rFonts w:ascii="Times New Roman" w:hAnsi="Times New Roman" w:cs="Times New Roman"/>
          <w:sz w:val="24"/>
          <w:szCs w:val="24"/>
        </w:rPr>
      </w:pPr>
      <w:r w:rsidRPr="00340658">
        <w:rPr>
          <w:rFonts w:ascii="Times New Roman" w:hAnsi="Times New Roman" w:cs="Times New Roman"/>
          <w:sz w:val="24"/>
          <w:szCs w:val="24"/>
        </w:rPr>
        <w:br w:type="page"/>
      </w:r>
    </w:p>
    <w:sdt>
      <w:sdtPr>
        <w:rPr>
          <w:rFonts w:ascii="Times New Roman" w:hAnsi="Times New Roman" w:cs="Times New Roman"/>
          <w:b w:val="0"/>
          <w:color w:val="auto"/>
          <w:sz w:val="24"/>
          <w:szCs w:val="24"/>
        </w:rPr>
        <w:id w:val="3286065"/>
        <w:docPartObj>
          <w:docPartGallery w:val="Bibliographies"/>
          <w:docPartUnique/>
        </w:docPartObj>
      </w:sdtPr>
      <w:sdtEndPr>
        <w:rPr>
          <w:rFonts w:eastAsiaTheme="minorEastAsia"/>
          <w:bCs w:val="0"/>
          <w:lang w:bidi="ar-SA"/>
        </w:rPr>
      </w:sdtEndPr>
      <w:sdtContent>
        <w:p w:rsidR="00340658" w:rsidRPr="00340658" w:rsidRDefault="00340658" w:rsidP="00340658">
          <w:pPr>
            <w:pStyle w:val="Heading1"/>
            <w:spacing w:line="480" w:lineRule="auto"/>
            <w:jc w:val="center"/>
            <w:rPr>
              <w:rFonts w:ascii="Times New Roman" w:hAnsi="Times New Roman" w:cs="Times New Roman"/>
              <w:b w:val="0"/>
              <w:color w:val="auto"/>
              <w:sz w:val="24"/>
              <w:szCs w:val="24"/>
            </w:rPr>
          </w:pPr>
          <w:r w:rsidRPr="00340658">
            <w:rPr>
              <w:rFonts w:ascii="Times New Roman" w:hAnsi="Times New Roman" w:cs="Times New Roman"/>
              <w:b w:val="0"/>
              <w:color w:val="auto"/>
              <w:sz w:val="24"/>
              <w:szCs w:val="24"/>
            </w:rPr>
            <w:t>References</w:t>
          </w:r>
        </w:p>
        <w:p w:rsidR="00340658" w:rsidRPr="00340658" w:rsidRDefault="00340658" w:rsidP="00340658">
          <w:pPr>
            <w:pStyle w:val="Bibliography"/>
            <w:spacing w:line="480" w:lineRule="auto"/>
            <w:ind w:left="720" w:hanging="720"/>
            <w:rPr>
              <w:rFonts w:ascii="Times New Roman" w:hAnsi="Times New Roman" w:cs="Times New Roman"/>
              <w:noProof/>
              <w:sz w:val="24"/>
              <w:szCs w:val="24"/>
            </w:rPr>
          </w:pPr>
          <w:r w:rsidRPr="00340658">
            <w:rPr>
              <w:rFonts w:ascii="Times New Roman" w:hAnsi="Times New Roman" w:cs="Times New Roman"/>
              <w:sz w:val="24"/>
              <w:szCs w:val="24"/>
            </w:rPr>
            <w:fldChar w:fldCharType="begin"/>
          </w:r>
          <w:r w:rsidRPr="00340658">
            <w:rPr>
              <w:rFonts w:ascii="Times New Roman" w:hAnsi="Times New Roman" w:cs="Times New Roman"/>
              <w:sz w:val="24"/>
              <w:szCs w:val="24"/>
            </w:rPr>
            <w:instrText xml:space="preserve"> BIBLIOGRAPHY </w:instrText>
          </w:r>
          <w:r w:rsidRPr="00340658">
            <w:rPr>
              <w:rFonts w:ascii="Times New Roman" w:hAnsi="Times New Roman" w:cs="Times New Roman"/>
              <w:sz w:val="24"/>
              <w:szCs w:val="24"/>
            </w:rPr>
            <w:fldChar w:fldCharType="separate"/>
          </w:r>
          <w:r w:rsidRPr="00340658">
            <w:rPr>
              <w:rFonts w:ascii="Times New Roman" w:hAnsi="Times New Roman" w:cs="Times New Roman"/>
              <w:noProof/>
              <w:sz w:val="24"/>
              <w:szCs w:val="24"/>
            </w:rPr>
            <w:t xml:space="preserve">Legal Information Institute. (2013, November 1). </w:t>
          </w:r>
          <w:r w:rsidRPr="00340658">
            <w:rPr>
              <w:rFonts w:ascii="Times New Roman" w:hAnsi="Times New Roman" w:cs="Times New Roman"/>
              <w:i/>
              <w:iCs/>
              <w:noProof/>
              <w:sz w:val="24"/>
              <w:szCs w:val="24"/>
            </w:rPr>
            <w:t>34 CFR § 682.205 - Disclosure requirements for lenders.</w:t>
          </w:r>
          <w:r w:rsidRPr="00340658">
            <w:rPr>
              <w:rFonts w:ascii="Times New Roman" w:hAnsi="Times New Roman" w:cs="Times New Roman"/>
              <w:noProof/>
              <w:sz w:val="24"/>
              <w:szCs w:val="24"/>
            </w:rPr>
            <w:t xml:space="preserve"> Retrieved February 2020, from Legal Information Institute: https://www.law.cornell.edu/cfr/text/34/682.205</w:t>
          </w:r>
        </w:p>
        <w:p w:rsidR="00340658" w:rsidRPr="00340658" w:rsidRDefault="00340658" w:rsidP="00340658">
          <w:pPr>
            <w:pStyle w:val="Bibliography"/>
            <w:spacing w:line="480" w:lineRule="auto"/>
            <w:ind w:left="720" w:hanging="720"/>
            <w:rPr>
              <w:rFonts w:ascii="Times New Roman" w:hAnsi="Times New Roman" w:cs="Times New Roman"/>
              <w:noProof/>
              <w:sz w:val="24"/>
              <w:szCs w:val="24"/>
            </w:rPr>
          </w:pPr>
          <w:r w:rsidRPr="00340658">
            <w:rPr>
              <w:rFonts w:ascii="Times New Roman" w:hAnsi="Times New Roman" w:cs="Times New Roman"/>
              <w:noProof/>
              <w:sz w:val="24"/>
              <w:szCs w:val="24"/>
            </w:rPr>
            <w:t xml:space="preserve">Sherratt, L. (2016). </w:t>
          </w:r>
          <w:r w:rsidRPr="00340658">
            <w:rPr>
              <w:rFonts w:ascii="Times New Roman" w:hAnsi="Times New Roman" w:cs="Times New Roman"/>
              <w:i/>
              <w:iCs/>
              <w:noProof/>
              <w:sz w:val="24"/>
              <w:szCs w:val="24"/>
            </w:rPr>
            <w:t>From Empowerment to Exploitation: MFIs and their Borrowers</w:t>
          </w:r>
          <w:r w:rsidRPr="00340658">
            <w:rPr>
              <w:rFonts w:ascii="Times New Roman" w:hAnsi="Times New Roman" w:cs="Times New Roman"/>
              <w:noProof/>
              <w:sz w:val="24"/>
              <w:szCs w:val="24"/>
            </w:rPr>
            <w:t>. Retrieved February 2020, from Oxford Scholarship Online: https://www.oxfordscholarship.com/view/10.1093/acprof:oso/9780199383191.001.0001/acprof-9780199383191-chapter-3</w:t>
          </w:r>
        </w:p>
        <w:p w:rsidR="00340658" w:rsidRPr="00340658" w:rsidRDefault="00340658" w:rsidP="00340658">
          <w:pPr>
            <w:spacing w:line="480" w:lineRule="auto"/>
            <w:ind w:left="720" w:hanging="720"/>
            <w:rPr>
              <w:rFonts w:ascii="Times New Roman" w:hAnsi="Times New Roman" w:cs="Times New Roman"/>
              <w:sz w:val="24"/>
              <w:szCs w:val="24"/>
            </w:rPr>
          </w:pPr>
          <w:r w:rsidRPr="00340658">
            <w:rPr>
              <w:rFonts w:ascii="Times New Roman" w:hAnsi="Times New Roman" w:cs="Times New Roman"/>
              <w:sz w:val="24"/>
              <w:szCs w:val="24"/>
            </w:rPr>
            <w:fldChar w:fldCharType="end"/>
          </w:r>
        </w:p>
      </w:sdtContent>
    </w:sdt>
    <w:p w:rsidR="009717FE" w:rsidRPr="00340658" w:rsidRDefault="009717FE" w:rsidP="00340658">
      <w:pPr>
        <w:spacing w:line="480" w:lineRule="auto"/>
        <w:rPr>
          <w:rFonts w:ascii="Times New Roman" w:hAnsi="Times New Roman" w:cs="Times New Roman"/>
          <w:sz w:val="24"/>
          <w:szCs w:val="24"/>
        </w:rPr>
      </w:pPr>
    </w:p>
    <w:sectPr w:rsidR="009717FE" w:rsidRPr="00340658" w:rsidSect="0035672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2AE1" w:rsidRDefault="00DE2AE1" w:rsidP="00340658">
      <w:pPr>
        <w:spacing w:after="0" w:line="240" w:lineRule="auto"/>
      </w:pPr>
      <w:r>
        <w:separator/>
      </w:r>
    </w:p>
  </w:endnote>
  <w:endnote w:type="continuationSeparator" w:id="1">
    <w:p w:rsidR="00DE2AE1" w:rsidRDefault="00DE2AE1" w:rsidP="003406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2AE1" w:rsidRDefault="00DE2AE1" w:rsidP="00340658">
      <w:pPr>
        <w:spacing w:after="0" w:line="240" w:lineRule="auto"/>
      </w:pPr>
      <w:r>
        <w:separator/>
      </w:r>
    </w:p>
  </w:footnote>
  <w:footnote w:type="continuationSeparator" w:id="1">
    <w:p w:rsidR="00DE2AE1" w:rsidRDefault="00DE2AE1" w:rsidP="003406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B0BCF"/>
    <w:multiLevelType w:val="hybridMultilevel"/>
    <w:tmpl w:val="5EDC7098"/>
    <w:lvl w:ilvl="0" w:tplc="54940D38">
      <w:start w:val="1"/>
      <w:numFmt w:val="decimal"/>
      <w:lvlText w:val="%1."/>
      <w:lvlJc w:val="left"/>
      <w:pPr>
        <w:ind w:left="360" w:hanging="360"/>
      </w:pPr>
      <w:rPr>
        <w:rFonts w:ascii="Arial" w:hAnsi="Arial" w:cs="Arial" w:hint="default"/>
        <w:color w:val="212529"/>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footnotePr>
    <w:footnote w:id="0"/>
    <w:footnote w:id="1"/>
  </w:footnotePr>
  <w:endnotePr>
    <w:endnote w:id="0"/>
    <w:endnote w:id="1"/>
  </w:endnotePr>
  <w:compat/>
  <w:rsids>
    <w:rsidRoot w:val="00340658"/>
    <w:rsid w:val="00340658"/>
    <w:rsid w:val="009717FE"/>
    <w:rsid w:val="00DE2A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658"/>
    <w:rPr>
      <w:rFonts w:eastAsiaTheme="minorEastAsia"/>
    </w:rPr>
  </w:style>
  <w:style w:type="paragraph" w:styleId="Heading1">
    <w:name w:val="heading 1"/>
    <w:basedOn w:val="Normal"/>
    <w:next w:val="Normal"/>
    <w:link w:val="Heading1Char"/>
    <w:uiPriority w:val="9"/>
    <w:qFormat/>
    <w:rsid w:val="0034065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658"/>
    <w:pPr>
      <w:ind w:left="720"/>
      <w:contextualSpacing/>
    </w:pPr>
  </w:style>
  <w:style w:type="paragraph" w:styleId="BalloonText">
    <w:name w:val="Balloon Text"/>
    <w:basedOn w:val="Normal"/>
    <w:link w:val="BalloonTextChar"/>
    <w:uiPriority w:val="99"/>
    <w:semiHidden/>
    <w:unhideWhenUsed/>
    <w:rsid w:val="003406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0658"/>
    <w:rPr>
      <w:rFonts w:ascii="Tahoma" w:eastAsiaTheme="minorEastAsia" w:hAnsi="Tahoma" w:cs="Tahoma"/>
      <w:sz w:val="16"/>
      <w:szCs w:val="16"/>
    </w:rPr>
  </w:style>
  <w:style w:type="character" w:customStyle="1" w:styleId="Heading1Char">
    <w:name w:val="Heading 1 Char"/>
    <w:basedOn w:val="DefaultParagraphFont"/>
    <w:link w:val="Heading1"/>
    <w:uiPriority w:val="9"/>
    <w:rsid w:val="0034065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40658"/>
  </w:style>
  <w:style w:type="paragraph" w:styleId="Header">
    <w:name w:val="header"/>
    <w:basedOn w:val="Normal"/>
    <w:link w:val="HeaderChar"/>
    <w:uiPriority w:val="99"/>
    <w:semiHidden/>
    <w:unhideWhenUsed/>
    <w:rsid w:val="0034065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0658"/>
    <w:rPr>
      <w:rFonts w:eastAsiaTheme="minorEastAsia"/>
    </w:rPr>
  </w:style>
  <w:style w:type="paragraph" w:styleId="Footer">
    <w:name w:val="footer"/>
    <w:basedOn w:val="Normal"/>
    <w:link w:val="FooterChar"/>
    <w:uiPriority w:val="99"/>
    <w:semiHidden/>
    <w:unhideWhenUsed/>
    <w:rsid w:val="003406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0658"/>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Leg13</b:Tag>
    <b:SourceType>InternetSite</b:SourceType>
    <b:Guid>{B399D0C2-6629-4F95-8FA2-42392DF23B15}</b:Guid>
    <b:LCID>0</b:LCID>
    <b:Author>
      <b:Author>
        <b:Corporate>Legal Information Institute</b:Corporate>
      </b:Author>
    </b:Author>
    <b:Title>34 CFR § 682.205 - Disclosure requirements for lenders.</b:Title>
    <b:InternetSiteTitle>Legal Information Institute</b:InternetSiteTitle>
    <b:Year>2013</b:Year>
    <b:Month>November</b:Month>
    <b:Day>1</b:Day>
    <b:YearAccessed>2020</b:YearAccessed>
    <b:MonthAccessed>February</b:MonthAccessed>
    <b:URL>https://www.law.cornell.edu/cfr/text/34/682.205</b:URL>
    <b:RefOrder>2</b:RefOrder>
  </b:Source>
  <b:Source>
    <b:Tag>She16</b:Tag>
    <b:SourceType>InternetSite</b:SourceType>
    <b:Guid>{6C3E1272-1CC2-47EF-8D47-2EAE3D778BA1}</b:Guid>
    <b:LCID>0</b:LCID>
    <b:Author>
      <b:Author>
        <b:NameList>
          <b:Person>
            <b:Last>Sherratt</b:Last>
            <b:First>Lesley</b:First>
          </b:Person>
        </b:NameList>
      </b:Author>
    </b:Author>
    <b:Title>From Empowerment to Exploitation: MFIs and their Borrowers</b:Title>
    <b:InternetSiteTitle>Oxford Scholarship Online</b:InternetSiteTitle>
    <b:Year>2016</b:Year>
    <b:YearAccessed>2020</b:YearAccessed>
    <b:MonthAccessed>February</b:MonthAccessed>
    <b:URL>https://www.oxfordscholarship.com/view/10.1093/acprof:oso/9780199383191.001.0001/acprof-9780199383191-chapter-3</b:URL>
    <b:RefOrder>1</b:RefOrder>
  </b:Source>
</b:Sources>
</file>

<file path=customXml/itemProps1.xml><?xml version="1.0" encoding="utf-8"?>
<ds:datastoreItem xmlns:ds="http://schemas.openxmlformats.org/officeDocument/2006/customXml" ds:itemID="{5779208F-EE5D-419C-B1A4-0C5714FEB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2020-02-02T15:36:00Z</dcterms:created>
  <dcterms:modified xsi:type="dcterms:W3CDTF">2020-02-02T15:47:00Z</dcterms:modified>
</cp:coreProperties>
</file>